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USTAWA z dnia 5 grudnia 2008 r. o zapobieganiu oraz zwalczaniu zaka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żeń i chor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zaka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źnych u ludzi po nowelizacji 31 marca 2020 roku wprowadzone zmiany zaznaczono kolorem czerwonym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47. 1. Pracownicy podmiotów leczniczych, osoby wykonuj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 zawody medyczne oraz osoby, z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órymi podpisano umowy na wykonywanie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świadczeń zdrowotnych, mogą być skierowani do pracy przy zwalczaniu epidemii. Do pracy przy zwalczaniu epidemii mogą być skierowane także inne osoby, jeżeli ich skierowanie jest uzasadnione aktualnymi potrzebami podmiot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kieruj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zwalczaniem epidemii.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Skierowanie do pracy przy zwalczaniu epidemii nast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ępuje w drodze decyzji.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Skierowaniu do pracy nios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ącej ryzyko zakażenia przy zwalczaniu epidemii nie podlegają: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 osoby, które nie uko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ńczyły 18 lat bądź ukończyły 60 lat;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strike w:val="true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 kobiety w ci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ąży </w:t>
      </w:r>
      <w:r>
        <w:rPr>
          <w:rFonts w:ascii="Calibri" w:hAnsi="Calibri" w:cs="Calibri" w:eastAsia="Calibri"/>
          <w:strike w:val="true"/>
          <w:color w:val="FF0000"/>
          <w:spacing w:val="0"/>
          <w:position w:val="0"/>
          <w:sz w:val="22"/>
          <w:shd w:fill="auto" w:val="clear"/>
        </w:rPr>
        <w:t xml:space="preserve">lub osoby wychowujące dzieci w wieku do 18 lat, w tym osoby wychowujące samotnie dzieci do lat 18;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2a) osoby samotnie wychowuj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ące dziecko w wieku do 18 lat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;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2b) osoby wychowuj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ące dziecko w wieku do 14 lat;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2c) osoby wychowuj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ące dziecko z orzeczeniem o niepełnosprawności lub orzeczeniem o potrzebie kształcenia specjalnego;”,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3) osoby, u których orzeczono 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ęściową lub całkowitą niezdolność do pracy;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3a. W przypadku gdy dziecko w wieku powy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żej 14 lat jest wychowywane przez dwoje os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ób, którym przys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ługuje władza rodzicielska, do pracy przy zwalczaniu epidemii może zostać skierowana  wyłącznie jedna z nich.”,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4) inwalidzi i osoby z orzeczonymi chorobami przewlek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łymi; osoby,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mowa w art. 2 ustawy z dnia 31 lipca 1981 r. o wynagrodzeniu osób zajmuj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ących kierownicze stanowiska państwowe (Dz. U. z 2019 r. poz. 152), oraz posłowie i senatorowie Rzeczypospolitej Polskiej.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Decyzj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o skierowaniu do pracy przy zwalczaniu epidemii na terenie wojew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ództwa, w którym osoba skierowana posiada miejsce pobytu lub jest zatrudniona, wydaje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łaściwy wojewoda, a w razie skierowania do pracy na obszarze innego wojew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ództwa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minister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łaściwy do spraw zdrowia.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Od decyzji wojewody przys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ługuje odwołanie do ministra właściwego do spraw zdrowia.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Wniesienie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środka odwoławczego nie wstrzymuje wykonania decyzji.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6a. Decyzje, o których mowa w ust. 4: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1) mog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ą być przekazywane w każdy możliwy spos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ób zapewniaj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ący dotarcie decyzji do adresata, w tym ustnie;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2) nie wymagaj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ą uzasadnienia;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3) przekazane w sposób inny ni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ż na piśmie, są następnie doręczane na piśmie po ustaniu przyczyn uniemożliwiających doręczenie w ten spos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ób.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Decyzja o skierowaniu do pracy przy zwalczaniu epidemii stwarza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ązek pracy przez okres do 3 miesięcy w podmiocie leczniczym lub w innej jednostce organizacyjnej wskazanych w decyzji.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Osobie skierowanej do pracy przy zwalczaniu epidemii dotychczasowy pracodawca jest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ązany udzielić urlopu bezpłatnego na czas określony w decyzji,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órej mowa w ust. 2. Okres urlopu bezp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łatnego zalicza się do okresu pracy, od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órego zale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żą uprawnienia pracownicze u tego pracodawcy.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Podmiot leczniczy lub jednostka organizacyjna, o której mowa w ust. 7, nawi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ązują z osobą skierowaną do pracy stosunek pracy na czas wykonywania określonej pracy, na okres nie dłuższy niż wskazany w decyzji.</w:t>
        <w:br/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Osobie skierowanej do pracy na podstawie decyzji, o której mowa w ust. 2,przys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ługuje </w:t>
      </w:r>
      <w:r>
        <w:rPr>
          <w:rFonts w:ascii="Calibri" w:hAnsi="Calibri" w:cs="Calibri" w:eastAsia="Calibri"/>
          <w:strike w:val="true"/>
          <w:color w:val="FF0000"/>
          <w:spacing w:val="0"/>
          <w:position w:val="0"/>
          <w:sz w:val="22"/>
          <w:shd w:fill="auto" w:val="clear"/>
        </w:rPr>
        <w:t xml:space="preserve">wyłącznie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wynagrodzenie zasadnicze w wysokości nie niższej niż 150% przeciętnego wynagrodzenia zasadniczego przewidzianego na danym stanowisku pracy w zakładzie wskazanym w tej decyzji lub w innym podobnym zakładzie, jeżeli w zakładzie wskazanym nie ma takiego stanowiska. Wynagrodzenie nie może być niższe niż wynagrodzenie,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 osoba skierowana do pracy przy zwalczaniu epidemii otrzyma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 w miesiącu poprzedzającym miesiąc, w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 wydana zosta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 decyzja o skierowaniu jej do pracy przy zwalczaniu epidemii.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 Osobie, o której mowa w ust. 10, przys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ługuje zwrot koszt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przejazdu, zakwaterowania i wy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żywienia, na zasadach określonych w przepisach o ustalaniu oraz wysokości należności przysługującej pracownikom państwowych jednostek z tytułu podr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ży służbowych na obszarze kraju. Zwrot koszt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z tytu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łu zakwaterowania lub wyżywienia nie przysługuje w przypadku zapewnienia w miejscu wykonywania pracy bezpłatnego zakwaterowania lub wyżywienia.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12. Koszty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świadczeń zdrowotnych udzielanych w związku ze zwalczaniem epidemii oraz koszty,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órych mowa w ust. 10 i 11,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finansowane z budżetu państwa z części,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órej dysponentem jest wojewoda w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łaściwy ze względu na miejsce udzielania świadczeń.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13. Przez czas trwania obowi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ązku, o kt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órym mowa w ust. 7, z osob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 skierowaną do pracy przy zwalczaniu epidemii nie może być rozwiązany dotychczasowy stosunek pracy ani nie może być dokonane wypowiedzenie umowy o pracę, chyba że istnieje podstawa do rozwiązania umowy o pracę bez wypowiedzenia z winy pracownika albo w przypadku zmiany lub uchylenia decyzji. Przepisy art. 63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67 ustawy z dnia 26 czerwca 1974 r.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Kodeks pracy (Dz. U. z 2019 r. poz. 1040) stosuje 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odpowiednio.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Art. 47a. W okresie og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łoszenia stanu zagrożenia epidemicznego lub stanu epidemii, przepisy art. 95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99 ustawy z dnia 15 kwietnia 2011 r. o dzia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łalności leczniczej (Dz. U. z 2020 r. poz. 295) stosuje się do pracownik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ów wykonuj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ących  zaw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ód medyczny w rozumieniu art. 2 pkt 3 ustawy z dnia 8 czerwca 2017 r. o sposobie ustalania najni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ższego wynagrodzenia zasadniczego niekt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órych pracowników zatrudnionych w podmiotach leczniczych (Dz. U. z 2019 r. poz. 1471 i 1565) zatrudnionych w podmiotach leczniczych udzielaj</w:t>
      </w:r>
      <w:r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  <w:t xml:space="preserve">ących świadczeń przez całą dobę.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Art. 48. Pracownikom podmiotów leczniczych oraz innym osobom podejmuj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ącym na zasadach określonych w niniejszej ustawie działania w celu zapobiegania i zwalczania chor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zaka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źnych i zakażeń u ludzi przysługuje ochrona prawna należna funkcjonariuszowi publicznemu.</w:t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